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137"/>
        <w:gridCol w:w="5421"/>
      </w:tblGrid>
      <w:tr w:rsidR="006C57AC" w:rsidRPr="006C57AC" w:rsidTr="00D04D8E">
        <w:trPr>
          <w:trHeight w:val="440"/>
        </w:trPr>
        <w:tc>
          <w:tcPr>
            <w:tcW w:w="4137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NAME OF THE PROGRAMME</w:t>
            </w:r>
          </w:p>
        </w:tc>
        <w:tc>
          <w:tcPr>
            <w:tcW w:w="5421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 w:val="24"/>
                <w:szCs w:val="24"/>
              </w:rPr>
              <w:t>M.A in Social Work</w:t>
            </w:r>
          </w:p>
        </w:tc>
      </w:tr>
      <w:tr w:rsidR="006C57AC" w:rsidRPr="006C57AC" w:rsidTr="00D04D8E">
        <w:trPr>
          <w:trHeight w:val="449"/>
        </w:trPr>
        <w:tc>
          <w:tcPr>
            <w:tcW w:w="4137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SEMESTER</w:t>
            </w:r>
          </w:p>
        </w:tc>
        <w:tc>
          <w:tcPr>
            <w:tcW w:w="5421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</w:rPr>
            </w:pPr>
            <w:r w:rsidRPr="006C57AC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6C57AC" w:rsidRPr="006C57AC" w:rsidTr="00D04D8E">
        <w:trPr>
          <w:trHeight w:val="530"/>
        </w:trPr>
        <w:tc>
          <w:tcPr>
            <w:tcW w:w="4137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COURSE CODE</w:t>
            </w:r>
          </w:p>
        </w:tc>
        <w:tc>
          <w:tcPr>
            <w:tcW w:w="5421" w:type="dxa"/>
          </w:tcPr>
          <w:p w:rsidR="006C57AC" w:rsidRPr="006C57AC" w:rsidRDefault="008B5065" w:rsidP="00605695">
            <w:pPr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>M</w:t>
            </w:r>
            <w:r w:rsidR="002247CF">
              <w:rPr>
                <w:rFonts w:ascii="Times New Roman" w:hAnsi="Times New Roman" w:cs="Times New Roman"/>
                <w:b/>
                <w:szCs w:val="18"/>
              </w:rPr>
              <w:t>SW- 20</w:t>
            </w:r>
            <w:r w:rsidR="00F43BC8">
              <w:rPr>
                <w:rFonts w:ascii="Times New Roman" w:hAnsi="Times New Roman" w:cs="Times New Roman"/>
                <w:b/>
                <w:szCs w:val="18"/>
              </w:rPr>
              <w:t>7</w:t>
            </w:r>
            <w:r w:rsidR="00D95E3F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="00F32255">
              <w:rPr>
                <w:rFonts w:ascii="Times New Roman" w:hAnsi="Times New Roman" w:cs="Times New Roman"/>
                <w:b/>
                <w:szCs w:val="18"/>
              </w:rPr>
              <w:t>(</w:t>
            </w:r>
            <w:r w:rsidR="00D95E3F">
              <w:rPr>
                <w:rFonts w:ascii="Times New Roman" w:hAnsi="Times New Roman" w:cs="Times New Roman"/>
                <w:b/>
                <w:szCs w:val="18"/>
              </w:rPr>
              <w:t>B</w:t>
            </w:r>
            <w:r w:rsidR="00F32255">
              <w:rPr>
                <w:rFonts w:ascii="Times New Roman" w:hAnsi="Times New Roman" w:cs="Times New Roman"/>
                <w:b/>
                <w:szCs w:val="18"/>
              </w:rPr>
              <w:t>)</w:t>
            </w:r>
          </w:p>
        </w:tc>
      </w:tr>
      <w:tr w:rsidR="006C57AC" w:rsidRPr="006C57AC" w:rsidTr="00D04D8E">
        <w:trPr>
          <w:trHeight w:val="422"/>
        </w:trPr>
        <w:tc>
          <w:tcPr>
            <w:tcW w:w="4137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COURSE TITLE</w:t>
            </w:r>
          </w:p>
        </w:tc>
        <w:tc>
          <w:tcPr>
            <w:tcW w:w="5421" w:type="dxa"/>
          </w:tcPr>
          <w:p w:rsidR="006C57AC" w:rsidRPr="00D04D8E" w:rsidRDefault="002247CF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 Livelihood and </w:t>
            </w:r>
            <w:r w:rsidR="006C57AC" w:rsidRPr="00D04D8E">
              <w:rPr>
                <w:rFonts w:ascii="Times New Roman" w:hAnsi="Times New Roman" w:cs="Times New Roman"/>
                <w:b/>
                <w:szCs w:val="24"/>
              </w:rPr>
              <w:t>Social Entrepreneurship</w:t>
            </w:r>
          </w:p>
        </w:tc>
      </w:tr>
      <w:tr w:rsidR="006C57AC" w:rsidRPr="006C57AC" w:rsidTr="00D04D8E">
        <w:trPr>
          <w:trHeight w:val="449"/>
        </w:trPr>
        <w:tc>
          <w:tcPr>
            <w:tcW w:w="4137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NATURE OF THE COURSE</w:t>
            </w:r>
          </w:p>
        </w:tc>
        <w:tc>
          <w:tcPr>
            <w:tcW w:w="5421" w:type="dxa"/>
          </w:tcPr>
          <w:p w:rsidR="006C57AC" w:rsidRPr="006C57AC" w:rsidRDefault="00B4085A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>
              <w:rPr>
                <w:rFonts w:ascii="Times New Roman" w:hAnsi="Times New Roman" w:cs="Times New Roman"/>
                <w:b/>
                <w:szCs w:val="16"/>
              </w:rPr>
              <w:t>DSE</w:t>
            </w:r>
          </w:p>
        </w:tc>
      </w:tr>
      <w:tr w:rsidR="006C57AC" w:rsidRPr="006C57AC" w:rsidTr="00D04D8E">
        <w:trPr>
          <w:trHeight w:val="440"/>
        </w:trPr>
        <w:tc>
          <w:tcPr>
            <w:tcW w:w="4137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TOTAL CREDIT</w:t>
            </w:r>
          </w:p>
        </w:tc>
        <w:tc>
          <w:tcPr>
            <w:tcW w:w="5421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3</w:t>
            </w:r>
          </w:p>
        </w:tc>
      </w:tr>
      <w:tr w:rsidR="006C57AC" w:rsidRPr="006C57AC" w:rsidTr="00D04D8E">
        <w:trPr>
          <w:trHeight w:val="449"/>
        </w:trPr>
        <w:tc>
          <w:tcPr>
            <w:tcW w:w="4137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MARKS</w:t>
            </w:r>
          </w:p>
        </w:tc>
        <w:tc>
          <w:tcPr>
            <w:tcW w:w="5421" w:type="dxa"/>
          </w:tcPr>
          <w:p w:rsidR="006C57AC" w:rsidRPr="006C57AC" w:rsidRDefault="006C57AC" w:rsidP="00605695">
            <w:pPr>
              <w:rPr>
                <w:rFonts w:ascii="Times New Roman" w:hAnsi="Times New Roman" w:cs="Times New Roman"/>
                <w:b/>
                <w:szCs w:val="16"/>
              </w:rPr>
            </w:pPr>
            <w:r w:rsidRPr="006C57AC">
              <w:rPr>
                <w:rFonts w:ascii="Times New Roman" w:hAnsi="Times New Roman" w:cs="Times New Roman"/>
                <w:b/>
                <w:szCs w:val="16"/>
              </w:rPr>
              <w:t>100</w:t>
            </w:r>
          </w:p>
        </w:tc>
      </w:tr>
    </w:tbl>
    <w:p w:rsidR="006C57AC" w:rsidRDefault="006C57AC">
      <w:pPr>
        <w:rPr>
          <w:rFonts w:ascii="Times New Roman" w:hAnsi="Times New Roman" w:cs="Times New Roman"/>
          <w:sz w:val="24"/>
          <w:szCs w:val="24"/>
        </w:rPr>
      </w:pPr>
    </w:p>
    <w:p w:rsidR="005E3137" w:rsidRPr="00666BBB" w:rsidRDefault="005E3137" w:rsidP="00DD03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66BBB">
        <w:rPr>
          <w:rFonts w:ascii="Times New Roman" w:hAnsi="Times New Roman" w:cs="Times New Roman"/>
          <w:b/>
          <w:sz w:val="24"/>
          <w:szCs w:val="24"/>
        </w:rPr>
        <w:t xml:space="preserve">Rationale </w:t>
      </w:r>
    </w:p>
    <w:p w:rsidR="005E3137" w:rsidRDefault="005E3137" w:rsidP="00DD03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course would entail detail understanding of livelihood issue</w:t>
      </w:r>
      <w:r w:rsidR="006422DB">
        <w:rPr>
          <w:rFonts w:ascii="Times New Roman" w:hAnsi="Times New Roman" w:cs="Times New Roman"/>
          <w:sz w:val="24"/>
          <w:szCs w:val="24"/>
        </w:rPr>
        <w:t>s in the context of polity</w:t>
      </w:r>
      <w:r w:rsidR="00B94D7D">
        <w:rPr>
          <w:rFonts w:ascii="Times New Roman" w:hAnsi="Times New Roman" w:cs="Times New Roman"/>
          <w:sz w:val="24"/>
          <w:szCs w:val="24"/>
        </w:rPr>
        <w:t>, economy and society. The reflections on various sustainable models of entrepreneurship and its relationship with livelihoods will be drawn here.</w:t>
      </w:r>
    </w:p>
    <w:p w:rsidR="00B94D7D" w:rsidRPr="00666BBB" w:rsidRDefault="00B94D7D" w:rsidP="00DD03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66BBB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D04D8E" w:rsidRPr="001D2B6E" w:rsidRDefault="00B94D7D" w:rsidP="001D2B6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2B6E">
        <w:rPr>
          <w:rFonts w:ascii="Times New Roman" w:hAnsi="Times New Roman" w:cs="Times New Roman"/>
          <w:sz w:val="24"/>
          <w:szCs w:val="24"/>
        </w:rPr>
        <w:t xml:space="preserve">To understand </w:t>
      </w:r>
      <w:r w:rsidR="00D04D8E" w:rsidRPr="001D2B6E">
        <w:rPr>
          <w:rFonts w:ascii="Times New Roman" w:hAnsi="Times New Roman" w:cs="Times New Roman"/>
          <w:sz w:val="24"/>
          <w:szCs w:val="24"/>
        </w:rPr>
        <w:t>the concept of poverty in diverse contexts.</w:t>
      </w:r>
    </w:p>
    <w:p w:rsidR="00D83736" w:rsidRPr="001D2B6E" w:rsidRDefault="00B94D7D" w:rsidP="001D2B6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2B6E">
        <w:rPr>
          <w:rFonts w:ascii="Times New Roman" w:hAnsi="Times New Roman" w:cs="Times New Roman"/>
          <w:sz w:val="24"/>
          <w:szCs w:val="24"/>
        </w:rPr>
        <w:t xml:space="preserve">To </w:t>
      </w:r>
      <w:r w:rsidR="00203A1E" w:rsidRPr="001D2B6E">
        <w:rPr>
          <w:rFonts w:ascii="Times New Roman" w:hAnsi="Times New Roman" w:cs="Times New Roman"/>
          <w:sz w:val="24"/>
          <w:szCs w:val="24"/>
        </w:rPr>
        <w:t>analyze</w:t>
      </w:r>
      <w:r w:rsidR="006422DB" w:rsidRPr="001D2B6E">
        <w:rPr>
          <w:rFonts w:ascii="Times New Roman" w:hAnsi="Times New Roman" w:cs="Times New Roman"/>
          <w:sz w:val="24"/>
          <w:szCs w:val="24"/>
        </w:rPr>
        <w:t xml:space="preserve"> social, economic, cultural and historical perspectives of </w:t>
      </w:r>
      <w:r w:rsidR="004274AF" w:rsidRPr="001D2B6E">
        <w:rPr>
          <w:rFonts w:ascii="Times New Roman" w:hAnsi="Times New Roman" w:cs="Times New Roman"/>
          <w:sz w:val="24"/>
          <w:szCs w:val="24"/>
        </w:rPr>
        <w:t xml:space="preserve">livelihoods </w:t>
      </w:r>
      <w:r w:rsidR="006422DB" w:rsidRPr="001D2B6E">
        <w:rPr>
          <w:rFonts w:ascii="Times New Roman" w:hAnsi="Times New Roman" w:cs="Times New Roman"/>
          <w:sz w:val="24"/>
          <w:szCs w:val="24"/>
        </w:rPr>
        <w:t>in Indian societies.</w:t>
      </w:r>
    </w:p>
    <w:p w:rsidR="00D04D8E" w:rsidRPr="001D2B6E" w:rsidRDefault="00D04D8E" w:rsidP="001D2B6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2B6E">
        <w:rPr>
          <w:rFonts w:ascii="Times New Roman" w:hAnsi="Times New Roman" w:cs="Times New Roman"/>
          <w:sz w:val="24"/>
          <w:szCs w:val="24"/>
        </w:rPr>
        <w:t xml:space="preserve">To study the influence of market forces on livelihood and social entrepreneurship </w:t>
      </w:r>
    </w:p>
    <w:p w:rsidR="00D04D8E" w:rsidRPr="001D2B6E" w:rsidRDefault="00D04D8E" w:rsidP="001D2B6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2B6E">
        <w:rPr>
          <w:rFonts w:ascii="Times New Roman" w:hAnsi="Times New Roman" w:cs="Times New Roman"/>
          <w:sz w:val="24"/>
          <w:szCs w:val="24"/>
        </w:rPr>
        <w:t xml:space="preserve">To explore the inter-linkages between livelihood </w:t>
      </w:r>
      <w:r w:rsidR="00246E9C" w:rsidRPr="001D2B6E">
        <w:rPr>
          <w:rFonts w:ascii="Times New Roman" w:hAnsi="Times New Roman" w:cs="Times New Roman"/>
          <w:sz w:val="24"/>
          <w:szCs w:val="24"/>
        </w:rPr>
        <w:t xml:space="preserve">and social entrepreneurship. </w:t>
      </w:r>
    </w:p>
    <w:p w:rsidR="00D04D8E" w:rsidRPr="00246E9C" w:rsidRDefault="00D04D8E" w:rsidP="00DD03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6E9C">
        <w:rPr>
          <w:rFonts w:ascii="Times New Roman" w:hAnsi="Times New Roman" w:cs="Times New Roman"/>
          <w:b/>
          <w:sz w:val="24"/>
          <w:szCs w:val="24"/>
        </w:rPr>
        <w:t xml:space="preserve">Learning Outcome: </w:t>
      </w:r>
    </w:p>
    <w:p w:rsidR="00D04D8E" w:rsidRPr="001D2B6E" w:rsidRDefault="00246E9C" w:rsidP="001D2B6E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2B6E">
        <w:rPr>
          <w:rFonts w:ascii="Times New Roman" w:hAnsi="Times New Roman" w:cs="Times New Roman"/>
          <w:sz w:val="24"/>
          <w:szCs w:val="24"/>
        </w:rPr>
        <w:t xml:space="preserve">This course would help in understanding livelihood issues in subsistence vis-à-vis market economy. </w:t>
      </w:r>
    </w:p>
    <w:p w:rsidR="00246E9C" w:rsidRPr="001D2B6E" w:rsidRDefault="00246E9C" w:rsidP="001D2B6E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2B6E">
        <w:rPr>
          <w:rFonts w:ascii="Times New Roman" w:hAnsi="Times New Roman" w:cs="Times New Roman"/>
          <w:sz w:val="24"/>
          <w:szCs w:val="24"/>
        </w:rPr>
        <w:t xml:space="preserve">This course would help in drawing symbiotic relationship between livelihood and social entrepreneurship. </w:t>
      </w:r>
    </w:p>
    <w:p w:rsidR="00246E9C" w:rsidRPr="001D2B6E" w:rsidRDefault="00246E9C" w:rsidP="001D2B6E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2B6E">
        <w:rPr>
          <w:rFonts w:ascii="Times New Roman" w:hAnsi="Times New Roman" w:cs="Times New Roman"/>
          <w:sz w:val="24"/>
          <w:szCs w:val="24"/>
        </w:rPr>
        <w:t xml:space="preserve">This course is meant for reflecting on the history of sustainable model of social entrepreneurship. </w:t>
      </w:r>
    </w:p>
    <w:p w:rsidR="00DD0399" w:rsidRDefault="00DD0399" w:rsidP="00DD039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D0399" w:rsidRDefault="00DD0399" w:rsidP="00DD039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274AF" w:rsidRPr="00DD0399" w:rsidRDefault="00DD0399" w:rsidP="00DD039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Course Content</w:t>
      </w:r>
    </w:p>
    <w:tbl>
      <w:tblPr>
        <w:tblStyle w:val="TableGrid"/>
        <w:tblW w:w="9805" w:type="dxa"/>
        <w:tblInd w:w="-72" w:type="dxa"/>
        <w:tblLayout w:type="fixed"/>
        <w:tblLook w:val="04A0"/>
      </w:tblPr>
      <w:tblGrid>
        <w:gridCol w:w="852"/>
        <w:gridCol w:w="1896"/>
        <w:gridCol w:w="4169"/>
        <w:gridCol w:w="663"/>
        <w:gridCol w:w="758"/>
        <w:gridCol w:w="663"/>
        <w:gridCol w:w="804"/>
      </w:tblGrid>
      <w:tr w:rsidR="00246E9C" w:rsidRPr="00C11F07" w:rsidTr="00DD0399">
        <w:trPr>
          <w:trHeight w:val="774"/>
        </w:trPr>
        <w:tc>
          <w:tcPr>
            <w:tcW w:w="852" w:type="dxa"/>
          </w:tcPr>
          <w:p w:rsidR="00DD0399" w:rsidRDefault="00DD0399" w:rsidP="0060569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:rsidR="00246E9C" w:rsidRPr="00C11F07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Unit</w:t>
            </w:r>
          </w:p>
        </w:tc>
        <w:tc>
          <w:tcPr>
            <w:tcW w:w="1896" w:type="dxa"/>
          </w:tcPr>
          <w:p w:rsidR="00246E9C" w:rsidRPr="00C11F07" w:rsidRDefault="00246E9C" w:rsidP="0060569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Name of the unit</w:t>
            </w:r>
          </w:p>
        </w:tc>
        <w:tc>
          <w:tcPr>
            <w:tcW w:w="4169" w:type="dxa"/>
          </w:tcPr>
          <w:p w:rsidR="00246E9C" w:rsidRPr="00C11F07" w:rsidRDefault="00246E9C" w:rsidP="00DD0399">
            <w:pPr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Contents</w:t>
            </w:r>
          </w:p>
        </w:tc>
        <w:tc>
          <w:tcPr>
            <w:tcW w:w="663" w:type="dxa"/>
          </w:tcPr>
          <w:p w:rsidR="00246E9C" w:rsidRPr="00C11F07" w:rsidRDefault="00246E9C" w:rsidP="0060569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L</w:t>
            </w:r>
          </w:p>
        </w:tc>
        <w:tc>
          <w:tcPr>
            <w:tcW w:w="758" w:type="dxa"/>
          </w:tcPr>
          <w:p w:rsidR="00246E9C" w:rsidRPr="00C11F07" w:rsidRDefault="00246E9C" w:rsidP="0060569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T</w:t>
            </w:r>
          </w:p>
        </w:tc>
        <w:tc>
          <w:tcPr>
            <w:tcW w:w="663" w:type="dxa"/>
          </w:tcPr>
          <w:p w:rsidR="00246E9C" w:rsidRPr="00C11F07" w:rsidRDefault="00246E9C" w:rsidP="0060569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P</w:t>
            </w:r>
          </w:p>
        </w:tc>
        <w:tc>
          <w:tcPr>
            <w:tcW w:w="804" w:type="dxa"/>
          </w:tcPr>
          <w:p w:rsidR="00246E9C" w:rsidRPr="00C11F07" w:rsidRDefault="00246E9C" w:rsidP="00605695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arks</w:t>
            </w:r>
          </w:p>
        </w:tc>
      </w:tr>
      <w:tr w:rsidR="00246E9C" w:rsidTr="00DD0399">
        <w:trPr>
          <w:trHeight w:val="228"/>
        </w:trPr>
        <w:tc>
          <w:tcPr>
            <w:tcW w:w="852" w:type="dxa"/>
          </w:tcPr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96" w:type="dxa"/>
          </w:tcPr>
          <w:p w:rsidR="00246E9C" w:rsidRPr="00CF21F4" w:rsidRDefault="0067291B" w:rsidP="00605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Introduction </w:t>
            </w:r>
          </w:p>
        </w:tc>
        <w:tc>
          <w:tcPr>
            <w:tcW w:w="4169" w:type="dxa"/>
          </w:tcPr>
          <w:p w:rsidR="00246E9C" w:rsidRPr="00611300" w:rsidRDefault="00246E9C" w:rsidP="00A212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00">
              <w:rPr>
                <w:rFonts w:ascii="Times New Roman" w:hAnsi="Times New Roman" w:cs="Times New Roman"/>
                <w:sz w:val="24"/>
                <w:szCs w:val="24"/>
              </w:rPr>
              <w:t>Concept of liveliho</w:t>
            </w:r>
            <w:r w:rsidR="0067291B">
              <w:rPr>
                <w:rFonts w:ascii="Times New Roman" w:hAnsi="Times New Roman" w:cs="Times New Roman"/>
                <w:sz w:val="24"/>
                <w:szCs w:val="24"/>
              </w:rPr>
              <w:t>ods and social entrepreneurship, application of the concept in practice.</w:t>
            </w:r>
            <w:r w:rsidR="00A21263">
              <w:rPr>
                <w:rFonts w:ascii="Times New Roman" w:hAnsi="Times New Roman" w:cs="Times New Roman"/>
                <w:sz w:val="24"/>
                <w:szCs w:val="24"/>
              </w:rPr>
              <w:t xml:space="preserve"> Poverty, inequalities, class structure, indicators of poverty, social exclusion, cultural connotations of poverty, examining poverty, urban and rural poverty.</w:t>
            </w:r>
          </w:p>
        </w:tc>
        <w:tc>
          <w:tcPr>
            <w:tcW w:w="663" w:type="dxa"/>
          </w:tcPr>
          <w:p w:rsidR="00246E9C" w:rsidRDefault="00EF6A33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52B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</w:tcPr>
          <w:p w:rsidR="00246E9C" w:rsidRDefault="00A21263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  <w:r w:rsidR="00452B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3" w:type="dxa"/>
          </w:tcPr>
          <w:p w:rsidR="00246E9C" w:rsidRDefault="00246E9C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246E9C" w:rsidRDefault="00E7246B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46E9C" w:rsidTr="00DD0399">
        <w:trPr>
          <w:trHeight w:val="228"/>
        </w:trPr>
        <w:tc>
          <w:tcPr>
            <w:tcW w:w="852" w:type="dxa"/>
          </w:tcPr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96" w:type="dxa"/>
          </w:tcPr>
          <w:p w:rsidR="00246E9C" w:rsidRPr="00CF21F4" w:rsidRDefault="00986F8C" w:rsidP="00605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F4">
              <w:rPr>
                <w:rFonts w:ascii="Times New Roman" w:hAnsi="Times New Roman" w:cs="Times New Roman"/>
                <w:b/>
                <w:sz w:val="24"/>
                <w:szCs w:val="24"/>
              </w:rPr>
              <w:t>Economy, Livelihood and Entrepreneurship</w:t>
            </w:r>
          </w:p>
        </w:tc>
        <w:tc>
          <w:tcPr>
            <w:tcW w:w="4169" w:type="dxa"/>
          </w:tcPr>
          <w:p w:rsidR="00246E9C" w:rsidRPr="00611300" w:rsidRDefault="00A21263" w:rsidP="00A212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Idea of an economy, self sustaining</w:t>
            </w:r>
            <w:r w:rsidR="00246E9C" w:rsidRPr="00611300">
              <w:rPr>
                <w:rFonts w:ascii="Times New Roman" w:hAnsi="Times New Roman" w:cs="Times New Roman"/>
                <w:sz w:val="24"/>
                <w:szCs w:val="24"/>
              </w:rPr>
              <w:t xml:space="preserve"> vis-à-vis subsistence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community based</w:t>
            </w:r>
            <w:r w:rsidR="00246E9C" w:rsidRPr="00611300">
              <w:rPr>
                <w:rFonts w:ascii="Times New Roman" w:hAnsi="Times New Roman" w:cs="Times New Roman"/>
                <w:sz w:val="24"/>
                <w:szCs w:val="24"/>
              </w:rPr>
              <w:t xml:space="preserve"> economy,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global economy, corporate economy, informal economy, solidarity economy. Emergence of third sector, social entrepreneurship and third sector, livelihood and social entrepreneurship, </w:t>
            </w:r>
            <w:r w:rsidR="00E7246B">
              <w:rPr>
                <w:rFonts w:ascii="Times New Roman" w:hAnsi="Times New Roman" w:cs="Times New Roman"/>
                <w:sz w:val="24"/>
                <w:szCs w:val="24"/>
              </w:rPr>
              <w:t>state, market and s</w:t>
            </w:r>
            <w:r w:rsidR="00246E9C" w:rsidRPr="00611300">
              <w:rPr>
                <w:rFonts w:ascii="Times New Roman" w:hAnsi="Times New Roman" w:cs="Times New Roman"/>
                <w:sz w:val="24"/>
                <w:szCs w:val="24"/>
              </w:rPr>
              <w:t>ocial entrepreneurship</w:t>
            </w:r>
          </w:p>
        </w:tc>
        <w:tc>
          <w:tcPr>
            <w:tcW w:w="663" w:type="dxa"/>
          </w:tcPr>
          <w:p w:rsidR="00246E9C" w:rsidRDefault="00EF6A33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52B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</w:tcPr>
          <w:p w:rsidR="00246E9C" w:rsidRDefault="00A21263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52B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3" w:type="dxa"/>
          </w:tcPr>
          <w:p w:rsidR="00246E9C" w:rsidRDefault="00246E9C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246E9C" w:rsidRDefault="00E7246B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46E9C" w:rsidTr="00DD0399">
        <w:trPr>
          <w:trHeight w:val="228"/>
        </w:trPr>
        <w:tc>
          <w:tcPr>
            <w:tcW w:w="852" w:type="dxa"/>
          </w:tcPr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96" w:type="dxa"/>
          </w:tcPr>
          <w:p w:rsidR="00246E9C" w:rsidRPr="00CF21F4" w:rsidRDefault="0012198C" w:rsidP="00605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Livelihood and Empowerment </w:t>
            </w:r>
          </w:p>
        </w:tc>
        <w:tc>
          <w:tcPr>
            <w:tcW w:w="4169" w:type="dxa"/>
          </w:tcPr>
          <w:p w:rsidR="00246E9C" w:rsidRPr="00611300" w:rsidRDefault="00246E9C" w:rsidP="00A212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611300">
              <w:rPr>
                <w:rFonts w:ascii="Times New Roman" w:hAnsi="Times New Roman" w:cs="Times New Roman"/>
                <w:sz w:val="24"/>
                <w:szCs w:val="24"/>
              </w:rPr>
              <w:t xml:space="preserve">ivelihoods and </w:t>
            </w:r>
            <w:r w:rsidR="00A21263">
              <w:rPr>
                <w:rFonts w:ascii="Times New Roman" w:hAnsi="Times New Roman" w:cs="Times New Roman"/>
                <w:sz w:val="24"/>
                <w:szCs w:val="24"/>
              </w:rPr>
              <w:t xml:space="preserve">empowerment, </w:t>
            </w:r>
            <w:r w:rsidRPr="00611300">
              <w:rPr>
                <w:rFonts w:ascii="Times New Roman" w:hAnsi="Times New Roman" w:cs="Times New Roman"/>
                <w:sz w:val="24"/>
                <w:szCs w:val="24"/>
              </w:rPr>
              <w:t>social entrepreneurship</w:t>
            </w:r>
            <w:r w:rsidR="00A21263">
              <w:rPr>
                <w:rFonts w:ascii="Times New Roman" w:hAnsi="Times New Roman" w:cs="Times New Roman"/>
                <w:sz w:val="24"/>
                <w:szCs w:val="24"/>
              </w:rPr>
              <w:t xml:space="preserve"> and development -c</w:t>
            </w:r>
            <w:r w:rsidRPr="00611300">
              <w:rPr>
                <w:rFonts w:ascii="Times New Roman" w:hAnsi="Times New Roman" w:cs="Times New Roman"/>
                <w:sz w:val="24"/>
                <w:szCs w:val="24"/>
              </w:rPr>
              <w:t>oncepts, theories, practices and perspectives</w:t>
            </w:r>
            <w:r w:rsidR="00DD0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" w:type="dxa"/>
          </w:tcPr>
          <w:p w:rsidR="00246E9C" w:rsidRDefault="00A21263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F6A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</w:tcPr>
          <w:p w:rsidR="00246E9C" w:rsidRDefault="00A21263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F6A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3" w:type="dxa"/>
          </w:tcPr>
          <w:p w:rsidR="00246E9C" w:rsidRDefault="00246E9C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246E9C" w:rsidRDefault="00E7246B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46E9C" w:rsidTr="00DD0399">
        <w:trPr>
          <w:trHeight w:val="216"/>
        </w:trPr>
        <w:tc>
          <w:tcPr>
            <w:tcW w:w="852" w:type="dxa"/>
          </w:tcPr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6E9C" w:rsidRPr="00B80D44" w:rsidRDefault="00246E9C" w:rsidP="006056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6" w:type="dxa"/>
          </w:tcPr>
          <w:p w:rsidR="00246E9C" w:rsidRPr="00CF21F4" w:rsidRDefault="0067291B" w:rsidP="006056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F4">
              <w:rPr>
                <w:rFonts w:ascii="Times New Roman" w:hAnsi="Times New Roman" w:cs="Times New Roman"/>
                <w:b/>
                <w:sz w:val="24"/>
                <w:szCs w:val="24"/>
              </w:rPr>
              <w:t>Livelihood, Social e</w:t>
            </w:r>
            <w:r w:rsidR="00CF21F4" w:rsidRPr="00CF21F4">
              <w:rPr>
                <w:rFonts w:ascii="Times New Roman" w:hAnsi="Times New Roman" w:cs="Times New Roman"/>
                <w:b/>
                <w:sz w:val="24"/>
                <w:szCs w:val="24"/>
              </w:rPr>
              <w:t>ntrepreneurship and Development</w:t>
            </w:r>
          </w:p>
        </w:tc>
        <w:tc>
          <w:tcPr>
            <w:tcW w:w="4169" w:type="dxa"/>
          </w:tcPr>
          <w:p w:rsidR="00246E9C" w:rsidRPr="00611300" w:rsidRDefault="00DD0399" w:rsidP="00A212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00">
              <w:rPr>
                <w:rFonts w:ascii="Times New Roman" w:hAnsi="Times New Roman" w:cs="Times New Roman"/>
                <w:sz w:val="24"/>
                <w:szCs w:val="24"/>
              </w:rPr>
              <w:t>Practice models of social entrepreneurship, Self-Help Groups,Micro-finance institutions, Community farming and resource sharing models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Pr="00611300">
              <w:rPr>
                <w:rFonts w:ascii="Times New Roman" w:hAnsi="Times New Roman" w:cs="Times New Roman"/>
                <w:sz w:val="24"/>
                <w:szCs w:val="24"/>
              </w:rPr>
              <w:t xml:space="preserve">ocial </w:t>
            </w:r>
            <w:r w:rsidR="00A21263">
              <w:rPr>
                <w:rFonts w:ascii="Times New Roman" w:hAnsi="Times New Roman" w:cs="Times New Roman"/>
                <w:sz w:val="24"/>
                <w:szCs w:val="24"/>
              </w:rPr>
              <w:t xml:space="preserve">responsibility and social </w:t>
            </w:r>
            <w:r w:rsidRPr="00611300">
              <w:rPr>
                <w:rFonts w:ascii="Times New Roman" w:hAnsi="Times New Roman" w:cs="Times New Roman"/>
                <w:sz w:val="24"/>
                <w:szCs w:val="24"/>
              </w:rPr>
              <w:t>security</w:t>
            </w:r>
            <w:r w:rsidR="00A21263">
              <w:rPr>
                <w:rFonts w:ascii="Times New Roman" w:hAnsi="Times New Roman" w:cs="Times New Roman"/>
                <w:sz w:val="24"/>
                <w:szCs w:val="24"/>
              </w:rPr>
              <w:t>,l</w:t>
            </w:r>
            <w:r w:rsidRPr="00611300">
              <w:rPr>
                <w:rFonts w:ascii="Times New Roman" w:hAnsi="Times New Roman" w:cs="Times New Roman"/>
                <w:sz w:val="24"/>
                <w:szCs w:val="24"/>
              </w:rPr>
              <w:t>ocal development, people’s particip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ation in livelihood development.</w:t>
            </w:r>
          </w:p>
        </w:tc>
        <w:tc>
          <w:tcPr>
            <w:tcW w:w="663" w:type="dxa"/>
          </w:tcPr>
          <w:p w:rsidR="00246E9C" w:rsidRDefault="00EF6A33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</w:tcPr>
          <w:p w:rsidR="00246E9C" w:rsidRDefault="00A21263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63" w:type="dxa"/>
          </w:tcPr>
          <w:p w:rsidR="00246E9C" w:rsidRDefault="00246E9C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246E9C" w:rsidRDefault="00E7246B" w:rsidP="00605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46E9C" w:rsidTr="00DD0399">
        <w:trPr>
          <w:trHeight w:val="549"/>
        </w:trPr>
        <w:tc>
          <w:tcPr>
            <w:tcW w:w="6916" w:type="dxa"/>
            <w:gridSpan w:val="3"/>
          </w:tcPr>
          <w:p w:rsidR="00246E9C" w:rsidRDefault="00246E9C" w:rsidP="00DD0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E9C" w:rsidRPr="00B80D44" w:rsidRDefault="00246E9C" w:rsidP="00A212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TOTAL CONTACT HOURS</w:t>
            </w:r>
          </w:p>
        </w:tc>
        <w:tc>
          <w:tcPr>
            <w:tcW w:w="2084" w:type="dxa"/>
            <w:gridSpan w:val="3"/>
          </w:tcPr>
          <w:p w:rsidR="00246E9C" w:rsidRDefault="00246E9C" w:rsidP="00605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4" w:type="dxa"/>
          </w:tcPr>
          <w:p w:rsidR="00246E9C" w:rsidRDefault="00246E9C" w:rsidP="00605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246E9C" w:rsidRPr="00666BBB" w:rsidRDefault="00246E9C" w:rsidP="00666BBB">
      <w:pPr>
        <w:rPr>
          <w:rFonts w:ascii="Times New Roman" w:hAnsi="Times New Roman" w:cs="Times New Roman"/>
          <w:b/>
          <w:sz w:val="24"/>
          <w:szCs w:val="24"/>
        </w:rPr>
      </w:pPr>
    </w:p>
    <w:p w:rsidR="00D83736" w:rsidRPr="00D83736" w:rsidRDefault="00D83736" w:rsidP="00D83736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Essential Readings 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Agarwal, Bina, (1989) Rural Women, Poverty and Natural Resources: Sustenance, Sustainability and Struggle for Change. </w:t>
      </w:r>
      <w:r w:rsidRPr="001D2B6E">
        <w:rPr>
          <w:rFonts w:ascii="Times New Roman" w:hAnsi="Times New Roman" w:cs="Times New Roman"/>
          <w:i/>
          <w:iCs/>
          <w:color w:val="000000"/>
        </w:rPr>
        <w:t>Economic and Political Weekly</w:t>
      </w:r>
      <w:r w:rsidRPr="001D2B6E">
        <w:rPr>
          <w:rFonts w:ascii="Times New Roman" w:hAnsi="Times New Roman" w:cs="Times New Roman"/>
          <w:color w:val="000000"/>
        </w:rPr>
        <w:t>, October 28, Vol. 20 No. 51.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Beck, Tony. 1994. </w:t>
      </w:r>
      <w:r w:rsidRPr="001D2B6E">
        <w:rPr>
          <w:rFonts w:ascii="Times New Roman" w:eastAsia="AGaramond-Italic" w:hAnsi="Times New Roman" w:cs="Times New Roman"/>
          <w:i/>
          <w:iCs/>
          <w:color w:val="000000"/>
        </w:rPr>
        <w:t>The Experience of Poverty: Fighting for Respect and Resources in Village India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.</w:t>
      </w:r>
      <w:r w:rsidRPr="001D2B6E">
        <w:rPr>
          <w:rFonts w:ascii="Times New Roman" w:eastAsia="AGaramond-Regular" w:hAnsi="Times New Roman" w:cs="Times New Roman"/>
          <w:color w:val="000000"/>
        </w:rPr>
        <w:t xml:space="preserve"> London: Intermediate Technology Publications.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Style w:val="InternetLink"/>
          <w:rFonts w:ascii="Times New Roman" w:hAnsi="Times New Roman" w:cs="Times New Roman"/>
          <w:color w:val="000000"/>
          <w:shd w:val="clear" w:color="auto" w:fill="FFFFFF"/>
        </w:rPr>
      </w:pPr>
      <w:r w:rsidRPr="001D2B6E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Thorbecke, Erik (2005). "Multidimensional poverty: Conceptual and measurement issues."</w:t>
      </w:r>
      <w:r w:rsidRPr="001D2B6E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1D2B6E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international conference on “The Many Dimensions of Poverty,” Brasilia, August</w:t>
      </w:r>
      <w:r w:rsidRPr="001D2B6E">
        <w:rPr>
          <w:rFonts w:ascii="Times New Roman" w:hAnsi="Times New Roman" w:cs="Times New Roman"/>
          <w:color w:val="000000"/>
          <w:shd w:val="clear" w:color="auto" w:fill="FFFFFF"/>
        </w:rPr>
        <w:t>.</w:t>
      </w:r>
      <w:hyperlink>
        <w:r w:rsidRPr="001D2B6E">
          <w:rPr>
            <w:rStyle w:val="InternetLink"/>
            <w:rFonts w:ascii="Times New Roman" w:hAnsi="Times New Roman" w:cs="Times New Roman"/>
            <w:color w:val="000000"/>
            <w:shd w:val="clear" w:color="auto" w:fill="FFFFFF"/>
          </w:rPr>
          <w:t>http://www.economics.cornell.edu/et17/Erik%20Thorbecke%20files/Multi1.pdf</w:t>
        </w:r>
      </w:hyperlink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Chambers, Robert (1988) Poverty in India: Concepts, Research and Reality, </w:t>
      </w:r>
      <w:r w:rsidRPr="001D2B6E">
        <w:rPr>
          <w:rFonts w:ascii="Times New Roman" w:hAnsi="Times New Roman" w:cs="Times New Roman"/>
          <w:i/>
          <w:iCs/>
          <w:color w:val="000000"/>
        </w:rPr>
        <w:t>IDS Discussion Paper 241</w:t>
      </w:r>
      <w:r w:rsidRPr="001D2B6E">
        <w:rPr>
          <w:rFonts w:ascii="Times New Roman" w:hAnsi="Times New Roman" w:cs="Times New Roman"/>
          <w:color w:val="000000"/>
        </w:rPr>
        <w:t>, Institute of Development Studies, Sussex.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>Shah, Ghanshyam, 1987, '</w:t>
      </w:r>
      <w:r w:rsidRPr="001D2B6E">
        <w:rPr>
          <w:rFonts w:ascii="Times New Roman" w:hAnsi="Times New Roman" w:cs="Times New Roman"/>
          <w:i/>
          <w:iCs/>
          <w:color w:val="000000"/>
        </w:rPr>
        <w:t>Caste and Poverty</w:t>
      </w:r>
      <w:r w:rsidRPr="001D2B6E">
        <w:rPr>
          <w:rFonts w:ascii="Times New Roman" w:hAnsi="Times New Roman" w:cs="Times New Roman"/>
          <w:color w:val="000000"/>
        </w:rPr>
        <w:t>', paper for the Workshop on Poverty in India held at Queen Elizabeth House, Oxford, 2-6 October 1987.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Skalli, H. Loubna (2001) Women and Poverty in Morocco: The many faces of social exclusion, </w:t>
      </w:r>
      <w:r w:rsidRPr="001D2B6E">
        <w:rPr>
          <w:rFonts w:ascii="Times New Roman" w:hAnsi="Times New Roman" w:cs="Times New Roman"/>
          <w:i/>
          <w:iCs/>
          <w:color w:val="000000"/>
        </w:rPr>
        <w:t>Feminist Review</w:t>
      </w:r>
      <w:r w:rsidRPr="001D2B6E">
        <w:rPr>
          <w:rFonts w:ascii="Times New Roman" w:hAnsi="Times New Roman" w:cs="Times New Roman"/>
          <w:color w:val="000000"/>
        </w:rPr>
        <w:t>, No.69, pp.73-89. w ISSN 0141-7789 print/ISSN 1466-4380 online (C) Feminist Review  Collective.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Stiglitz, J (2002)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Globalisation and its discontents</w:t>
      </w:r>
      <w:r w:rsidRPr="001D2B6E">
        <w:rPr>
          <w:rFonts w:ascii="Times New Roman" w:eastAsia="AGaramond-Regular" w:hAnsi="Times New Roman" w:cs="Times New Roman"/>
          <w:color w:val="000000"/>
        </w:rPr>
        <w:t>, Allen Lane: London.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Style w:val="InternetLink"/>
          <w:rFonts w:ascii="Times New Roman" w:hAnsi="Times New Roman" w:cs="Times New Roman"/>
        </w:rPr>
      </w:pPr>
      <w:r w:rsidRPr="001D2B6E">
        <w:rPr>
          <w:rFonts w:ascii="Times New Roman" w:eastAsia="AGaramond-Regular" w:hAnsi="Times New Roman" w:cs="Times New Roman"/>
          <w:color w:val="000000"/>
        </w:rPr>
        <w:t>ThoratSukhdeo. Caste, Social Exclusion and Poverty Linkages – Concept, Measurement and Empirical Evidence ,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Discussion Paper</w:t>
      </w:r>
      <w:r w:rsidRPr="001D2B6E">
        <w:rPr>
          <w:rFonts w:ascii="Times New Roman" w:eastAsia="AGaramond-Regular" w:hAnsi="Times New Roman" w:cs="Times New Roman"/>
          <w:color w:val="000000"/>
        </w:rPr>
        <w:t xml:space="preserve">, </w:t>
      </w:r>
      <w:hyperlink r:id="rId7">
        <w:r w:rsidRPr="001D2B6E">
          <w:rPr>
            <w:rStyle w:val="InternetLink"/>
            <w:rFonts w:ascii="Times New Roman" w:hAnsi="Times New Roman" w:cs="Times New Roman"/>
          </w:rPr>
          <w:t>http://www.empowerpoor.org/downloads/castepovertypaper.pdf</w:t>
        </w:r>
      </w:hyperlink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Vidal, D. (2003), ‘Markets’. In V. Das, ed.,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The Oxford India Companion to Sociology and Social Anthropology</w:t>
      </w:r>
      <w:r w:rsidRPr="001D2B6E">
        <w:rPr>
          <w:rFonts w:ascii="Times New Roman" w:eastAsia="AGaramond-Regular" w:hAnsi="Times New Roman" w:cs="Times New Roman"/>
          <w:color w:val="000000"/>
        </w:rPr>
        <w:t>, 1342-1360. New Delhi: Oxford University Press.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White, S. Guhan, and R. H. Cassen, eds., </w:t>
      </w:r>
      <w:r w:rsidRPr="001D2B6E">
        <w:rPr>
          <w:rFonts w:ascii="Times New Roman" w:eastAsia="AGaramond-Italic" w:hAnsi="Times New Roman" w:cs="Times New Roman"/>
          <w:i/>
          <w:iCs/>
          <w:color w:val="000000"/>
        </w:rPr>
        <w:t>Poverty in India: Research and Policy</w:t>
      </w:r>
      <w:r w:rsidRPr="001D2B6E">
        <w:rPr>
          <w:rFonts w:ascii="Times New Roman" w:eastAsia="AGaramond-Regular" w:hAnsi="Times New Roman" w:cs="Times New Roman"/>
          <w:color w:val="000000"/>
        </w:rPr>
        <w:t xml:space="preserve"> . Oxford: Oxford University Press.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 w:cs="Times New Roman"/>
          <w:color w:val="000000"/>
        </w:rPr>
      </w:pPr>
      <w:r w:rsidRPr="001D2B6E">
        <w:rPr>
          <w:rFonts w:ascii="Times New Roman" w:eastAsia="TimesNewRomanPSMT" w:hAnsi="Times New Roman" w:cs="Times New Roman"/>
          <w:color w:val="000000"/>
        </w:rPr>
        <w:t xml:space="preserve">BakshiRajani (2009) </w:t>
      </w:r>
      <w:r w:rsidRPr="001D2B6E">
        <w:rPr>
          <w:rFonts w:ascii="Times New Roman" w:eastAsia="TimesNewRomanPSMT" w:hAnsi="Times New Roman" w:cs="Times New Roman"/>
          <w:i/>
          <w:iCs/>
          <w:color w:val="000000"/>
        </w:rPr>
        <w:t>Bazaars, Conversations and Freedom – For a market culture beyond greed and fear</w:t>
      </w:r>
      <w:r w:rsidRPr="001D2B6E">
        <w:rPr>
          <w:rFonts w:ascii="Times New Roman" w:eastAsia="TimesNewRomanPSMT" w:hAnsi="Times New Roman" w:cs="Times New Roman"/>
          <w:color w:val="000000"/>
        </w:rPr>
        <w:t>, New Delhi: Penguin.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Hart Keith, Jean-Louis Laville and Antonio David Cattani (eds.) (2010)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The Human Economy: A Citizen's Guide</w:t>
      </w:r>
      <w:r w:rsidRPr="001D2B6E">
        <w:rPr>
          <w:rFonts w:ascii="Times New Roman" w:eastAsia="AGaramond-Regular" w:hAnsi="Times New Roman" w:cs="Times New Roman"/>
          <w:color w:val="000000"/>
        </w:rPr>
        <w:t>, London: Polity Press.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Narayan Deepa and Elena Glinskaya (2007)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Ending Poverty in South Asia: Ideas that Work</w:t>
      </w:r>
      <w:r w:rsidRPr="001D2B6E">
        <w:rPr>
          <w:rFonts w:ascii="Times New Roman" w:eastAsia="AGaramond-Regular" w:hAnsi="Times New Roman" w:cs="Times New Roman"/>
          <w:color w:val="000000"/>
        </w:rPr>
        <w:t>, Washington: World Bank.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Parasuraman, S., Gomathy, K. Raj, and B. Fernandez (2003) </w:t>
      </w:r>
      <w:r w:rsidRPr="001D2B6E">
        <w:rPr>
          <w:rFonts w:ascii="Times New Roman" w:hAnsi="Times New Roman" w:cs="Times New Roman"/>
          <w:i/>
          <w:iCs/>
          <w:color w:val="000000"/>
        </w:rPr>
        <w:t>Listening to people in poverty</w:t>
      </w:r>
      <w:r w:rsidRPr="001D2B6E">
        <w:rPr>
          <w:rFonts w:ascii="Times New Roman" w:hAnsi="Times New Roman" w:cs="Times New Roman"/>
          <w:color w:val="000000"/>
        </w:rPr>
        <w:t xml:space="preserve">, Bangalore: 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Chambers, Robert (1988) Poverty in India: Concepts, Research and Reality, </w:t>
      </w:r>
      <w:r w:rsidRPr="001D2B6E">
        <w:rPr>
          <w:rFonts w:ascii="Times New Roman" w:hAnsi="Times New Roman" w:cs="Times New Roman"/>
          <w:i/>
          <w:iCs/>
          <w:color w:val="000000"/>
        </w:rPr>
        <w:t>IDS Discussion Paper 241</w:t>
      </w:r>
      <w:r w:rsidRPr="001D2B6E">
        <w:rPr>
          <w:rFonts w:ascii="Times New Roman" w:hAnsi="Times New Roman" w:cs="Times New Roman"/>
          <w:color w:val="000000"/>
        </w:rPr>
        <w:t>, Institute of Development Studies, Sussex.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 w:cs="Times New Roman"/>
          <w:color w:val="000000"/>
        </w:rPr>
      </w:pPr>
      <w:r w:rsidRPr="001D2B6E">
        <w:rPr>
          <w:rFonts w:ascii="Times New Roman" w:eastAsia="TimesNewRomanPSMT" w:hAnsi="Times New Roman" w:cs="Times New Roman"/>
          <w:color w:val="000000"/>
        </w:rPr>
        <w:t xml:space="preserve">Dilley, R. (1992), ‘Contesting markets: a general introduction to market ideology, imagery and discourse’. In R. Dilley, ed., </w:t>
      </w:r>
      <w:r w:rsidRPr="001D2B6E">
        <w:rPr>
          <w:rFonts w:ascii="Times New Roman" w:eastAsia="TimesNewRomanPS-ItalicMT" w:hAnsi="Times New Roman" w:cs="Times New Roman"/>
          <w:i/>
          <w:iCs/>
          <w:color w:val="000000"/>
        </w:rPr>
        <w:t>Contesting Markets: Analyses of Ideology, Discourse and Practice</w:t>
      </w:r>
      <w:r w:rsidRPr="001D2B6E">
        <w:rPr>
          <w:rFonts w:ascii="Times New Roman" w:eastAsia="TimesNewRomanPS-ItalicMT" w:hAnsi="Times New Roman" w:cs="Times New Roman"/>
          <w:color w:val="000000"/>
        </w:rPr>
        <w:t xml:space="preserve">, </w:t>
      </w:r>
      <w:r w:rsidRPr="001D2B6E">
        <w:rPr>
          <w:rFonts w:ascii="Times New Roman" w:eastAsia="TimesNewRomanPSMT" w:hAnsi="Times New Roman" w:cs="Times New Roman"/>
          <w:color w:val="000000"/>
        </w:rPr>
        <w:t>1-34. Edinburgh: Edinburgh University Press.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Escobar, A (1995)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Encountering Development: The Making and Unmaking of the Third World</w:t>
      </w:r>
      <w:r w:rsidRPr="001D2B6E">
        <w:rPr>
          <w:rFonts w:ascii="Times New Roman" w:eastAsia="AGaramond-Regular" w:hAnsi="Times New Roman" w:cs="Times New Roman"/>
          <w:color w:val="000000"/>
        </w:rPr>
        <w:t>, Princeton University Press. NY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BONGOL+Goudy" w:hAnsi="Times New Roman" w:cs="Times New Roman"/>
          <w:color w:val="000000"/>
        </w:rPr>
      </w:pPr>
      <w:r w:rsidRPr="001D2B6E">
        <w:rPr>
          <w:rFonts w:ascii="Times New Roman" w:eastAsia="BONGOL+Goudy" w:hAnsi="Times New Roman" w:cs="Times New Roman"/>
          <w:color w:val="000000"/>
        </w:rPr>
        <w:lastRenderedPageBreak/>
        <w:t xml:space="preserve">Eswaran, Mukesh, and Ashok Kotwal (1994) </w:t>
      </w:r>
      <w:r w:rsidRPr="001D2B6E">
        <w:rPr>
          <w:rFonts w:ascii="Times New Roman" w:eastAsia="BONGOL+Goudy" w:hAnsi="Times New Roman" w:cs="Times New Roman"/>
          <w:i/>
          <w:iCs/>
          <w:color w:val="000000"/>
        </w:rPr>
        <w:t>Why Poverty Persists in India?</w:t>
      </w:r>
      <w:r w:rsidRPr="001D2B6E">
        <w:rPr>
          <w:rFonts w:ascii="Times New Roman" w:eastAsia="BONGOL+Goudy" w:hAnsi="Times New Roman" w:cs="Times New Roman"/>
          <w:color w:val="000000"/>
        </w:rPr>
        <w:t>Delhi: Oxford  University Press.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GaihaRaghav, (1989), Are the Chronically Poor also the Poorest in India,  </w:t>
      </w:r>
      <w:r w:rsidRPr="001D2B6E">
        <w:rPr>
          <w:rFonts w:ascii="Times New Roman" w:hAnsi="Times New Roman" w:cs="Times New Roman"/>
          <w:i/>
          <w:iCs/>
          <w:color w:val="000000"/>
        </w:rPr>
        <w:t>Development and Change</w:t>
      </w:r>
      <w:r w:rsidRPr="001D2B6E">
        <w:rPr>
          <w:rFonts w:ascii="Times New Roman" w:hAnsi="Times New Roman" w:cs="Times New Roman"/>
          <w:color w:val="000000"/>
        </w:rPr>
        <w:t>, Vol. 20.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Gulati, Leela, 1981, </w:t>
      </w:r>
      <w:r w:rsidRPr="001D2B6E">
        <w:rPr>
          <w:rFonts w:ascii="Times New Roman" w:hAnsi="Times New Roman" w:cs="Times New Roman"/>
          <w:i/>
          <w:iCs/>
          <w:color w:val="000000"/>
        </w:rPr>
        <w:t>Profiles in Female Poverty: A Study of Five Poor Working Women in Kerala</w:t>
      </w:r>
      <w:r w:rsidRPr="001D2B6E">
        <w:rPr>
          <w:rFonts w:ascii="Times New Roman" w:hAnsi="Times New Roman" w:cs="Times New Roman"/>
          <w:color w:val="000000"/>
        </w:rPr>
        <w:t xml:space="preserve">, Hindustan Publishing Corporation, Delhi 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Harriss-White Barbara (2005) Commercialisation, Commodification and Gender Relations in Post-Harvest Systems for Rice in South Asia, </w:t>
      </w:r>
      <w:r w:rsidRPr="001D2B6E">
        <w:rPr>
          <w:rFonts w:ascii="Times New Roman" w:hAnsi="Times New Roman" w:cs="Times New Roman"/>
          <w:i/>
          <w:iCs/>
          <w:color w:val="000000"/>
        </w:rPr>
        <w:t>Economic and Political Weekly</w:t>
      </w:r>
      <w:r w:rsidRPr="001D2B6E">
        <w:rPr>
          <w:rFonts w:ascii="Times New Roman" w:hAnsi="Times New Roman" w:cs="Times New Roman"/>
          <w:color w:val="000000"/>
        </w:rPr>
        <w:t>, Vol. 40, No. 25, June 24.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>Harriss-White, Barbara. 1992. “Rural Poverty in India: Micro-Level Evidence.” In Barbara Harriss-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Style w:val="InternetLink"/>
          <w:rFonts w:ascii="Times New Roman" w:hAnsi="Times New Roman" w:cs="Times New Roman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Hart Keith (2008) The human economy,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Association of Social Anthropologists of the UK and Commonwealth</w:t>
      </w:r>
      <w:r w:rsidRPr="001D2B6E">
        <w:rPr>
          <w:rFonts w:ascii="Times New Roman" w:eastAsia="AGaramond-Regular" w:hAnsi="Times New Roman" w:cs="Times New Roman"/>
          <w:color w:val="000000"/>
        </w:rPr>
        <w:t xml:space="preserve">, </w:t>
      </w:r>
      <w:hyperlink r:id="rId8">
        <w:r w:rsidRPr="001D2B6E">
          <w:rPr>
            <w:rStyle w:val="InternetLink"/>
            <w:rFonts w:ascii="Times New Roman" w:hAnsi="Times New Roman" w:cs="Times New Roman"/>
          </w:rPr>
          <w:t>http://www.theasa.org/publications/asaonline.htm</w:t>
        </w:r>
      </w:hyperlink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>Heyer, Judith, 1987, 'Poverty and Landlessness - Poverty and Assetlessness', paper for the Workshop on Poverty in India held at Queen Elizabeth House, Oxford, 2-6 October.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Hirway, Indira, 1985,.'Discussion: 'GaribiHatao': Can IRDP Do It', </w:t>
      </w:r>
      <w:r w:rsidRPr="001D2B6E">
        <w:rPr>
          <w:rFonts w:ascii="Times New Roman" w:hAnsi="Times New Roman" w:cs="Times New Roman"/>
          <w:i/>
          <w:iCs/>
          <w:color w:val="000000"/>
        </w:rPr>
        <w:t>EPW</w:t>
      </w:r>
      <w:r w:rsidRPr="001D2B6E">
        <w:rPr>
          <w:rFonts w:ascii="Times New Roman" w:hAnsi="Times New Roman" w:cs="Times New Roman"/>
          <w:color w:val="000000"/>
        </w:rPr>
        <w:t xml:space="preserve"> 20, 13, March 30, pp561-564.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Hossain, S (2010) </w:t>
      </w:r>
      <w:r w:rsidRPr="001D2B6E">
        <w:rPr>
          <w:rFonts w:ascii="Times New Roman" w:hAnsi="Times New Roman" w:cs="Times New Roman"/>
          <w:i/>
          <w:iCs/>
          <w:color w:val="000000"/>
        </w:rPr>
        <w:t>Urban Poverty in Bangladesh: Slum Communities, Migration and Social Integration</w:t>
      </w:r>
      <w:r w:rsidRPr="001D2B6E">
        <w:rPr>
          <w:rFonts w:ascii="Times New Roman" w:hAnsi="Times New Roman" w:cs="Times New Roman"/>
          <w:color w:val="000000"/>
        </w:rPr>
        <w:t>, London: I.B.Tauris.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Jayaraj D. and Subramanian S. (1999) Poverty and Discrimination: Measurement, and Evidence from Rural India, in Harriss – White, Barbara and Subramanian, S.,  Illfare in India: </w:t>
      </w:r>
      <w:r w:rsidRPr="001D2B6E">
        <w:rPr>
          <w:rFonts w:ascii="Times New Roman" w:hAnsi="Times New Roman" w:cs="Times New Roman"/>
          <w:i/>
          <w:iCs/>
          <w:color w:val="000000"/>
        </w:rPr>
        <w:t>Essays On India's Social Sector In Honour Of S. Guhan</w:t>
      </w:r>
      <w:r w:rsidRPr="001D2B6E">
        <w:rPr>
          <w:rFonts w:ascii="Times New Roman" w:hAnsi="Times New Roman" w:cs="Times New Roman"/>
          <w:color w:val="000000"/>
        </w:rPr>
        <w:t>, Sage, New Delhi.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Jayaraman, R. and Lanjouw, P. (1999), The Evaluation of Poverty and Inequality in Indian Villages, </w:t>
      </w:r>
      <w:r w:rsidRPr="001D2B6E">
        <w:rPr>
          <w:rFonts w:ascii="Times New Roman" w:hAnsi="Times New Roman" w:cs="Times New Roman"/>
          <w:i/>
          <w:iCs/>
          <w:color w:val="000000"/>
        </w:rPr>
        <w:t>The World Bank Research Observer</w:t>
      </w:r>
      <w:r w:rsidRPr="001D2B6E">
        <w:rPr>
          <w:rFonts w:ascii="Times New Roman" w:hAnsi="Times New Roman" w:cs="Times New Roman"/>
          <w:color w:val="000000"/>
        </w:rPr>
        <w:t>, Vol.14, No.1, February.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>Loughhead, S., Mittal, O. and Wood, G., (2000) Urban Poverty and Vulnerability in India:  DFIDs Experience from a Social Perspective, Draft, September.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Martine, G.; G. McGranahan, M. Montgomery, R. Fernandez-Castilla (2008) </w:t>
      </w:r>
      <w:r w:rsidRPr="001D2B6E">
        <w:rPr>
          <w:rFonts w:ascii="Times New Roman" w:hAnsi="Times New Roman" w:cs="Times New Roman"/>
          <w:i/>
          <w:iCs/>
          <w:color w:val="000000"/>
        </w:rPr>
        <w:t>The New Global Frontier: Urbanisation, Poverty and Environment in the 21</w:t>
      </w:r>
      <w:r w:rsidRPr="001D2B6E">
        <w:rPr>
          <w:rFonts w:ascii="Times New Roman" w:hAnsi="Times New Roman" w:cs="Times New Roman"/>
          <w:i/>
          <w:iCs/>
          <w:color w:val="000000"/>
          <w:vertAlign w:val="superscript"/>
        </w:rPr>
        <w:t>st</w:t>
      </w:r>
      <w:r w:rsidRPr="001D2B6E">
        <w:rPr>
          <w:rFonts w:ascii="Times New Roman" w:hAnsi="Times New Roman" w:cs="Times New Roman"/>
          <w:i/>
          <w:iCs/>
          <w:color w:val="000000"/>
        </w:rPr>
        <w:t xml:space="preserve"> Century</w:t>
      </w:r>
      <w:r w:rsidRPr="001D2B6E">
        <w:rPr>
          <w:rFonts w:ascii="Times New Roman" w:hAnsi="Times New Roman" w:cs="Times New Roman"/>
          <w:color w:val="000000"/>
        </w:rPr>
        <w:t>, London: Earthscan.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Mingione, E (1996) </w:t>
      </w:r>
      <w:r w:rsidRPr="001D2B6E">
        <w:rPr>
          <w:rFonts w:ascii="Times New Roman" w:hAnsi="Times New Roman" w:cs="Times New Roman"/>
          <w:i/>
          <w:iCs/>
          <w:color w:val="000000"/>
        </w:rPr>
        <w:t>Urban Poverty and the Underclass</w:t>
      </w:r>
      <w:r w:rsidRPr="001D2B6E">
        <w:rPr>
          <w:rFonts w:ascii="Times New Roman" w:hAnsi="Times New Roman" w:cs="Times New Roman"/>
          <w:color w:val="000000"/>
        </w:rPr>
        <w:t>, Oxford: Blackwell.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Ostor, A. (1984)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Culture and Power: Legend, Ritual, Bazaar and Rebellion in a Bengali Society</w:t>
      </w:r>
      <w:r w:rsidRPr="001D2B6E">
        <w:rPr>
          <w:rFonts w:ascii="Times New Roman" w:eastAsia="AGaramond-Regular" w:hAnsi="Times New Roman" w:cs="Times New Roman"/>
          <w:color w:val="000000"/>
        </w:rPr>
        <w:t>. New Delhi: Sage Publications.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Polanyi, K (2001) [1944]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The Great Transformation: The Political and Economic Crisis of our Times</w:t>
      </w:r>
      <w:r w:rsidRPr="001D2B6E">
        <w:rPr>
          <w:rFonts w:ascii="Times New Roman" w:eastAsia="AGaramond-Regular" w:hAnsi="Times New Roman" w:cs="Times New Roman"/>
          <w:color w:val="000000"/>
        </w:rPr>
        <w:t>, Beacon Press, Boston.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lastRenderedPageBreak/>
        <w:t>Prabhu K. Seetha and KamdarSangita, (1997) On Defining Poverty from a Human Development  Perspective, University of Mumbai, mimeo.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1D2B6E">
        <w:rPr>
          <w:rFonts w:ascii="Times New Roman" w:hAnsi="Times New Roman" w:cs="Times New Roman"/>
          <w:color w:val="000000"/>
        </w:rPr>
        <w:t xml:space="preserve">Ridge, Tess and Sharon Wright (eds.) (2008) </w:t>
      </w:r>
      <w:r w:rsidRPr="001D2B6E">
        <w:rPr>
          <w:rFonts w:ascii="Times New Roman" w:hAnsi="Times New Roman" w:cs="Times New Roman"/>
          <w:i/>
          <w:iCs/>
          <w:color w:val="000000"/>
        </w:rPr>
        <w:t xml:space="preserve">Understanding inequality, poverty and wealth, </w:t>
      </w:r>
      <w:r w:rsidRPr="001D2B6E">
        <w:rPr>
          <w:rFonts w:ascii="Times New Roman" w:hAnsi="Times New Roman" w:cs="Times New Roman"/>
          <w:color w:val="000000"/>
        </w:rPr>
        <w:t>Bristol: The Policy Press.</w:t>
      </w:r>
    </w:p>
    <w:p w:rsidR="00D83736" w:rsidRPr="001D2B6E" w:rsidRDefault="00D83736" w:rsidP="001D2B6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eastAsia="AGaramond-Regular" w:hAnsi="Times New Roman" w:cs="Times New Roman"/>
          <w:color w:val="000000"/>
        </w:rPr>
      </w:pPr>
      <w:r w:rsidRPr="001D2B6E">
        <w:rPr>
          <w:rFonts w:ascii="Times New Roman" w:eastAsia="AGaramond-Regular" w:hAnsi="Times New Roman" w:cs="Times New Roman"/>
          <w:color w:val="000000"/>
        </w:rPr>
        <w:t xml:space="preserve">Sen, Amartya and Sengupta, Sunil, (1983) “Malnutrition of Rural Children and the Sex Bias”, </w:t>
      </w:r>
      <w:r w:rsidRPr="001D2B6E">
        <w:rPr>
          <w:rFonts w:ascii="Times New Roman" w:eastAsia="AGaramond-Regular" w:hAnsi="Times New Roman" w:cs="Times New Roman"/>
          <w:i/>
          <w:iCs/>
          <w:color w:val="000000"/>
        </w:rPr>
        <w:t>Economic and Political Weekly</w:t>
      </w:r>
      <w:r w:rsidRPr="001D2B6E">
        <w:rPr>
          <w:rFonts w:ascii="Times New Roman" w:eastAsia="AGaramond-Regular" w:hAnsi="Times New Roman" w:cs="Times New Roman"/>
          <w:color w:val="000000"/>
        </w:rPr>
        <w:t>, Vol.18, Nos.19-21.</w:t>
      </w:r>
    </w:p>
    <w:p w:rsidR="00D83736" w:rsidRPr="004274AF" w:rsidRDefault="00D83736" w:rsidP="004274AF">
      <w:pPr>
        <w:rPr>
          <w:rFonts w:ascii="Times New Roman" w:hAnsi="Times New Roman" w:cs="Times New Roman"/>
          <w:sz w:val="24"/>
          <w:szCs w:val="24"/>
        </w:rPr>
      </w:pPr>
    </w:p>
    <w:sectPr w:rsidR="00D83736" w:rsidRPr="004274AF" w:rsidSect="00DC4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2CA" w:rsidRDefault="007112CA" w:rsidP="00DD0399">
      <w:pPr>
        <w:spacing w:after="0" w:line="240" w:lineRule="auto"/>
      </w:pPr>
      <w:r>
        <w:separator/>
      </w:r>
    </w:p>
  </w:endnote>
  <w:endnote w:type="continuationSeparator" w:id="1">
    <w:p w:rsidR="007112CA" w:rsidRDefault="007112CA" w:rsidP="00DD0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ramond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aramond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NGOL+Goudy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2CA" w:rsidRDefault="007112CA" w:rsidP="00DD0399">
      <w:pPr>
        <w:spacing w:after="0" w:line="240" w:lineRule="auto"/>
      </w:pPr>
      <w:r>
        <w:separator/>
      </w:r>
    </w:p>
  </w:footnote>
  <w:footnote w:type="continuationSeparator" w:id="1">
    <w:p w:rsidR="007112CA" w:rsidRDefault="007112CA" w:rsidP="00DD0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5FA7"/>
    <w:multiLevelType w:val="hybridMultilevel"/>
    <w:tmpl w:val="A7969462"/>
    <w:lvl w:ilvl="0" w:tplc="ABECE8DA">
      <w:start w:val="1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00A0F"/>
    <w:multiLevelType w:val="hybridMultilevel"/>
    <w:tmpl w:val="ACA82F1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D763E"/>
    <w:multiLevelType w:val="hybridMultilevel"/>
    <w:tmpl w:val="FDFEAC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A5797B"/>
    <w:multiLevelType w:val="hybridMultilevel"/>
    <w:tmpl w:val="68C0E8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5609A5"/>
    <w:multiLevelType w:val="hybridMultilevel"/>
    <w:tmpl w:val="5ACE1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BA5"/>
    <w:rsid w:val="0000766D"/>
    <w:rsid w:val="000A3097"/>
    <w:rsid w:val="0012198C"/>
    <w:rsid w:val="00150440"/>
    <w:rsid w:val="001D2B6E"/>
    <w:rsid w:val="00203A1E"/>
    <w:rsid w:val="002247CF"/>
    <w:rsid w:val="00246E9C"/>
    <w:rsid w:val="004274AF"/>
    <w:rsid w:val="00452B09"/>
    <w:rsid w:val="0049051D"/>
    <w:rsid w:val="005118F0"/>
    <w:rsid w:val="0055753B"/>
    <w:rsid w:val="00593DED"/>
    <w:rsid w:val="005A5D7E"/>
    <w:rsid w:val="005E3137"/>
    <w:rsid w:val="00611300"/>
    <w:rsid w:val="006422DB"/>
    <w:rsid w:val="00666BBB"/>
    <w:rsid w:val="0067291B"/>
    <w:rsid w:val="006C57AC"/>
    <w:rsid w:val="007112CA"/>
    <w:rsid w:val="00716092"/>
    <w:rsid w:val="007E4BF5"/>
    <w:rsid w:val="007E6DC7"/>
    <w:rsid w:val="00811921"/>
    <w:rsid w:val="008B5065"/>
    <w:rsid w:val="00905509"/>
    <w:rsid w:val="00986F8C"/>
    <w:rsid w:val="00A21263"/>
    <w:rsid w:val="00A233B9"/>
    <w:rsid w:val="00B4085A"/>
    <w:rsid w:val="00B94D7D"/>
    <w:rsid w:val="00CF21F4"/>
    <w:rsid w:val="00D04D8E"/>
    <w:rsid w:val="00D62BA5"/>
    <w:rsid w:val="00D83736"/>
    <w:rsid w:val="00D95E3F"/>
    <w:rsid w:val="00DC4AB8"/>
    <w:rsid w:val="00DD0399"/>
    <w:rsid w:val="00E06FE8"/>
    <w:rsid w:val="00E41A7B"/>
    <w:rsid w:val="00E7246B"/>
    <w:rsid w:val="00EF6A33"/>
    <w:rsid w:val="00F20523"/>
    <w:rsid w:val="00F32255"/>
    <w:rsid w:val="00F43BC8"/>
    <w:rsid w:val="00FC5444"/>
    <w:rsid w:val="00FC7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4D7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83736"/>
  </w:style>
  <w:style w:type="character" w:customStyle="1" w:styleId="InternetLink">
    <w:name w:val="Internet Link"/>
    <w:basedOn w:val="DefaultParagraphFont"/>
    <w:uiPriority w:val="99"/>
    <w:unhideWhenUsed/>
    <w:rsid w:val="00D8373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D0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0399"/>
  </w:style>
  <w:style w:type="paragraph" w:styleId="Footer">
    <w:name w:val="footer"/>
    <w:basedOn w:val="Normal"/>
    <w:link w:val="FooterChar"/>
    <w:uiPriority w:val="99"/>
    <w:semiHidden/>
    <w:unhideWhenUsed/>
    <w:rsid w:val="00DD0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0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4D7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83736"/>
  </w:style>
  <w:style w:type="character" w:customStyle="1" w:styleId="InternetLink">
    <w:name w:val="Internet Link"/>
    <w:basedOn w:val="DefaultParagraphFont"/>
    <w:uiPriority w:val="99"/>
    <w:unhideWhenUsed/>
    <w:rsid w:val="00D837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asa.org/publications/asaonlin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mpowerpoor.org/downloads/castepovertypap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23</cp:revision>
  <cp:lastPrinted>2019-08-08T08:00:00Z</cp:lastPrinted>
  <dcterms:created xsi:type="dcterms:W3CDTF">2019-03-06T06:14:00Z</dcterms:created>
  <dcterms:modified xsi:type="dcterms:W3CDTF">2019-08-08T11:21:00Z</dcterms:modified>
</cp:coreProperties>
</file>